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98" w:rsidRDefault="002C0C98" w:rsidP="00CD6839">
      <w:pPr>
        <w:rPr>
          <w:sz w:val="28"/>
          <w:szCs w:val="28"/>
        </w:rPr>
      </w:pPr>
    </w:p>
    <w:p w:rsidR="0086634A" w:rsidRPr="0086634A" w:rsidRDefault="0086634A" w:rsidP="0086634A">
      <w:pPr>
        <w:adjustRightInd w:val="0"/>
        <w:jc w:val="center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>ЗАЯВА</w:t>
      </w:r>
      <w:r w:rsidRPr="0086634A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</w:p>
    <w:p w:rsidR="0086634A" w:rsidRPr="00EB56A0" w:rsidRDefault="0086634A" w:rsidP="0086634A">
      <w:pPr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6634A">
        <w:rPr>
          <w:rFonts w:eastAsiaTheme="minorHAnsi"/>
          <w:bCs/>
          <w:color w:val="000000"/>
          <w:sz w:val="28"/>
          <w:szCs w:val="28"/>
          <w:lang w:val="uk-UA" w:eastAsia="en-US"/>
        </w:rPr>
        <w:t>про визначення обсягу стратегічної екологічної оцінки до</w:t>
      </w:r>
      <w:r w:rsidRPr="0086634A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6634A">
        <w:rPr>
          <w:rFonts w:eastAsiaTheme="minorHAnsi"/>
          <w:bCs/>
          <w:color w:val="000000"/>
          <w:sz w:val="28"/>
          <w:szCs w:val="28"/>
          <w:lang w:val="uk-UA" w:eastAsia="en-US"/>
        </w:rPr>
        <w:t>проєкту</w:t>
      </w:r>
      <w:proofErr w:type="spellEnd"/>
      <w:r w:rsidRPr="0086634A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</w:t>
      </w:r>
      <w:r w:rsidRPr="0086634A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«</w:t>
      </w:r>
      <w:r w:rsidRPr="0086634A">
        <w:rPr>
          <w:b/>
          <w:bCs/>
          <w:sz w:val="28"/>
          <w:szCs w:val="28"/>
          <w:lang w:val="uk-UA"/>
        </w:rPr>
        <w:t xml:space="preserve">Детальний план території </w:t>
      </w:r>
      <w:r w:rsidRPr="0086634A">
        <w:rPr>
          <w:b/>
          <w:sz w:val="28"/>
          <w:szCs w:val="28"/>
          <w:lang w:val="uk-UA"/>
        </w:rPr>
        <w:t xml:space="preserve">загальною площею 2.1999 га для розміщення </w:t>
      </w:r>
      <w:proofErr w:type="spellStart"/>
      <w:r w:rsidRPr="0086634A">
        <w:rPr>
          <w:b/>
          <w:sz w:val="28"/>
          <w:szCs w:val="28"/>
          <w:lang w:val="uk-UA"/>
        </w:rPr>
        <w:t>офісно</w:t>
      </w:r>
      <w:proofErr w:type="spellEnd"/>
      <w:r w:rsidRPr="0086634A">
        <w:rPr>
          <w:b/>
          <w:sz w:val="28"/>
          <w:szCs w:val="28"/>
          <w:lang w:val="uk-UA"/>
        </w:rPr>
        <w:t xml:space="preserve">-складських будівель та споруд в смт В. </w:t>
      </w:r>
      <w:proofErr w:type="spellStart"/>
      <w:r w:rsidRPr="0086634A">
        <w:rPr>
          <w:b/>
          <w:sz w:val="28"/>
          <w:szCs w:val="28"/>
          <w:lang w:val="uk-UA"/>
        </w:rPr>
        <w:t>Димерка</w:t>
      </w:r>
      <w:proofErr w:type="spellEnd"/>
      <w:r w:rsidRPr="0086634A">
        <w:rPr>
          <w:b/>
          <w:sz w:val="28"/>
          <w:szCs w:val="28"/>
          <w:lang w:val="uk-UA"/>
        </w:rPr>
        <w:t xml:space="preserve"> Броварського району Київської області</w:t>
      </w:r>
      <w:r w:rsidRPr="0086634A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  <w:r w:rsidRPr="0086634A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CD6839" w:rsidRDefault="00CD6839" w:rsidP="00737D9E">
      <w:pPr>
        <w:rPr>
          <w:sz w:val="28"/>
          <w:szCs w:val="28"/>
        </w:rPr>
      </w:pPr>
    </w:p>
    <w:p w:rsidR="00737D9E" w:rsidRDefault="00737D9E" w:rsidP="00737D9E">
      <w:pPr>
        <w:rPr>
          <w:sz w:val="28"/>
          <w:szCs w:val="28"/>
        </w:rPr>
      </w:pPr>
    </w:p>
    <w:p w:rsidR="00737D9E" w:rsidRDefault="00737D9E" w:rsidP="00737D9E">
      <w:pPr>
        <w:rPr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664"/>
        <w:gridCol w:w="7052"/>
      </w:tblGrid>
      <w:tr w:rsidR="00CD6839" w:rsidRPr="00821118" w:rsidTr="00CD6839">
        <w:tc>
          <w:tcPr>
            <w:tcW w:w="426" w:type="dxa"/>
          </w:tcPr>
          <w:p w:rsidR="00CD6839" w:rsidRPr="00CD6839" w:rsidRDefault="00CD6839" w:rsidP="00CD6839">
            <w:pPr>
              <w:tabs>
                <w:tab w:val="left" w:pos="240"/>
              </w:tabs>
              <w:adjustRightInd w:val="0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CD6839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1.</w:t>
            </w:r>
          </w:p>
          <w:p w:rsidR="00CD6839" w:rsidRDefault="00CD6839" w:rsidP="00151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Замовник</w:t>
            </w:r>
            <w:proofErr w:type="spellEnd"/>
          </w:p>
          <w:p w:rsidR="00CD6839" w:rsidRDefault="00CD6839" w:rsidP="00151D3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737D9E" w:rsidRPr="00821118" w:rsidRDefault="00821118" w:rsidP="00821118">
            <w:pPr>
              <w:tabs>
                <w:tab w:val="center" w:pos="4703"/>
                <w:tab w:val="right" w:pos="9406"/>
              </w:tabs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Виконавчий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комітет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Великодимерської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селищної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Броварського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Київської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області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Юридична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адреса:   </w:t>
            </w:r>
            <w:proofErr w:type="spellStart"/>
            <w:proofErr w:type="gram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вул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Бобрицька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1,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смт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ВеликаДимерка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Броварський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р-н, </w:t>
            </w:r>
            <w:proofErr w:type="spellStart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Київська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обл. 07442 тел./факс: (04594) 67601, тел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47-140</w:t>
            </w:r>
            <w:r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u w:val="single"/>
                <w:lang w:val="en-US" w:eastAsia="en-US"/>
              </w:rPr>
              <w:t>Web</w:t>
            </w:r>
            <w:r w:rsidRPr="00821118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eastAsiaTheme="minorHAnsi"/>
                <w:color w:val="000000"/>
                <w:sz w:val="24"/>
                <w:szCs w:val="24"/>
                <w:u w:val="single"/>
                <w:lang w:val="en-US" w:eastAsia="en-US"/>
              </w:rPr>
              <w:t>http</w:t>
            </w:r>
            <w:r w:rsidRPr="00821118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u w:val="single"/>
                <w:lang w:val="en-US" w:eastAsia="en-US"/>
              </w:rPr>
              <w:t>vdsr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u w:val="single"/>
                <w:lang w:val="en-US" w:eastAsia="en-US"/>
              </w:rPr>
              <w:t>gov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u w:val="single"/>
                <w:lang w:val="en-US" w:eastAsia="en-US"/>
              </w:rPr>
              <w:t>ua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E</w:t>
            </w:r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mail</w:t>
            </w:r>
            <w:r w:rsidRPr="008211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u w:val="single"/>
                <w:lang w:val="en-US" w:eastAsia="en-US"/>
              </w:rPr>
              <w:t>otg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@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u w:val="single"/>
                <w:lang w:val="en-US" w:eastAsia="en-US"/>
              </w:rPr>
              <w:t>vdsr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u w:val="single"/>
                <w:lang w:val="en-US" w:eastAsia="en-US"/>
              </w:rPr>
              <w:t>gov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u w:val="single"/>
                <w:lang w:val="en-US" w:eastAsia="en-US"/>
              </w:rPr>
              <w:t>ua</w:t>
            </w:r>
            <w:proofErr w:type="spellEnd"/>
            <w:r w:rsidRPr="00821118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 xml:space="preserve"> Код ЄДРПОУ 41794559</w:t>
            </w:r>
          </w:p>
        </w:tc>
      </w:tr>
      <w:tr w:rsidR="00D02BAE" w:rsidRPr="00D02BAE" w:rsidTr="00CD6839">
        <w:tc>
          <w:tcPr>
            <w:tcW w:w="426" w:type="dxa"/>
          </w:tcPr>
          <w:p w:rsidR="00CD6839" w:rsidRPr="00D02BAE" w:rsidRDefault="00CD6839" w:rsidP="00151D38">
            <w:pPr>
              <w:rPr>
                <w:color w:val="FF0000"/>
                <w:sz w:val="28"/>
                <w:szCs w:val="28"/>
                <w:lang w:val="uk-UA"/>
              </w:rPr>
            </w:pPr>
            <w:r w:rsidRPr="00D02B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CD6839" w:rsidRPr="00D02BAE" w:rsidRDefault="00CD6839" w:rsidP="00CD6839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Вид та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основні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цілі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 державного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планування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його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зв'язок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іншими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документами державного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планування</w:t>
            </w:r>
            <w:proofErr w:type="spellEnd"/>
          </w:p>
          <w:p w:rsidR="00CD6839" w:rsidRPr="00D02BAE" w:rsidRDefault="00CD6839" w:rsidP="00151D3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737D9E" w:rsidRPr="00821118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Детальний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план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є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містобудівною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документацією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яка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призначена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обґрунтування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стратегії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планування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забудови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іншого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будівництва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821118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Завданнями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проекту детального плану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(ДПТ) є:</w:t>
            </w:r>
          </w:p>
          <w:p w:rsidR="00737D9E" w:rsidRPr="00821118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111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21118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обґрунтування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майбутніх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потреб і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переважних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напрямків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821118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111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21118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урахування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державних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громадських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приватних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інтересів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під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часпланування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забудови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іншого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дотриманням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вимог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містобудівного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санітарного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екологічного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природоохоронного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протипожежного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іншого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821118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111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21118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обґрунтування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проектування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містобудівних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потреб;</w:t>
            </w:r>
          </w:p>
          <w:p w:rsidR="00737D9E" w:rsidRPr="00821118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111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21118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раціонального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EB56A0" w:rsidRDefault="00737D9E" w:rsidP="00D02BAE">
            <w:pPr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проектування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особливих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функціональних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зон,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встановлення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передбачених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законодавством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обмежень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їх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планування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забудову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інше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розроблення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містобудівних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заходів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щодо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охорони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довкілля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раціонального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Детальний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план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B6329" w:rsidRPr="002B6329">
              <w:rPr>
                <w:sz w:val="24"/>
                <w:szCs w:val="24"/>
                <w:lang w:val="uk-UA"/>
              </w:rPr>
              <w:t xml:space="preserve">загальною площею 2.1999 га для розміщення </w:t>
            </w:r>
            <w:proofErr w:type="spellStart"/>
            <w:r w:rsidR="002B6329" w:rsidRPr="002B6329">
              <w:rPr>
                <w:sz w:val="24"/>
                <w:szCs w:val="24"/>
                <w:lang w:val="uk-UA"/>
              </w:rPr>
              <w:t>офісно</w:t>
            </w:r>
            <w:proofErr w:type="spellEnd"/>
            <w:r w:rsidR="002B6329" w:rsidRPr="002B6329">
              <w:rPr>
                <w:sz w:val="24"/>
                <w:szCs w:val="24"/>
                <w:lang w:val="uk-UA"/>
              </w:rPr>
              <w:t xml:space="preserve">-складських будівель та споруд в смт В. </w:t>
            </w:r>
            <w:proofErr w:type="spellStart"/>
            <w:r w:rsidR="002B6329" w:rsidRPr="002B6329">
              <w:rPr>
                <w:sz w:val="24"/>
                <w:szCs w:val="24"/>
                <w:lang w:val="uk-UA"/>
              </w:rPr>
              <w:t>Димерка</w:t>
            </w:r>
            <w:proofErr w:type="spellEnd"/>
            <w:r w:rsidR="002B6329" w:rsidRPr="002B6329">
              <w:rPr>
                <w:sz w:val="24"/>
                <w:szCs w:val="24"/>
                <w:lang w:val="uk-UA"/>
              </w:rPr>
              <w:t xml:space="preserve"> Броварського району Київської області</w:t>
            </w:r>
            <w:r w:rsidRPr="002B63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розробляється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згідно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</w:p>
          <w:p w:rsidR="00737D9E" w:rsidRPr="00AD2A6D" w:rsidRDefault="00AD2A6D" w:rsidP="00AD2A6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D2A6D">
              <w:rPr>
                <w:rFonts w:cstheme="minorHAnsi"/>
                <w:bCs/>
                <w:sz w:val="24"/>
                <w:szCs w:val="24"/>
              </w:rPr>
              <w:t xml:space="preserve">- РІШЕННЯ </w:t>
            </w:r>
            <w:proofErr w:type="spellStart"/>
            <w:r w:rsidRPr="00AD2A6D">
              <w:rPr>
                <w:rFonts w:cstheme="minorHAnsi"/>
                <w:bCs/>
                <w:sz w:val="24"/>
                <w:szCs w:val="24"/>
              </w:rPr>
              <w:t>Великодимерської</w:t>
            </w:r>
            <w:proofErr w:type="spellEnd"/>
            <w:r w:rsidRPr="00AD2A6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D2A6D">
              <w:rPr>
                <w:rFonts w:cstheme="minorHAnsi"/>
                <w:bCs/>
                <w:sz w:val="24"/>
                <w:szCs w:val="24"/>
              </w:rPr>
              <w:t>селищної</w:t>
            </w:r>
            <w:proofErr w:type="spellEnd"/>
            <w:r w:rsidRPr="00AD2A6D">
              <w:rPr>
                <w:rFonts w:cstheme="minorHAnsi"/>
                <w:bCs/>
                <w:sz w:val="24"/>
                <w:szCs w:val="24"/>
              </w:rPr>
              <w:t xml:space="preserve"> ради </w:t>
            </w:r>
            <w:proofErr w:type="spellStart"/>
            <w:r w:rsidRPr="00AD2A6D">
              <w:rPr>
                <w:rFonts w:cstheme="minorHAnsi"/>
                <w:bCs/>
                <w:sz w:val="24"/>
                <w:szCs w:val="24"/>
              </w:rPr>
              <w:t>Броварського</w:t>
            </w:r>
            <w:proofErr w:type="spellEnd"/>
            <w:r w:rsidRPr="00AD2A6D">
              <w:rPr>
                <w:rFonts w:cstheme="minorHAnsi"/>
                <w:bCs/>
                <w:sz w:val="24"/>
                <w:szCs w:val="24"/>
              </w:rPr>
              <w:t xml:space="preserve"> району </w:t>
            </w:r>
            <w:proofErr w:type="spellStart"/>
            <w:r w:rsidRPr="00AD2A6D">
              <w:rPr>
                <w:rFonts w:cstheme="minorHAnsi"/>
                <w:bCs/>
                <w:sz w:val="24"/>
                <w:szCs w:val="24"/>
              </w:rPr>
              <w:t>Київської</w:t>
            </w:r>
            <w:proofErr w:type="spellEnd"/>
            <w:r w:rsidRPr="00AD2A6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D2A6D">
              <w:rPr>
                <w:rFonts w:cstheme="minorHAnsi"/>
                <w:bCs/>
                <w:sz w:val="24"/>
                <w:szCs w:val="24"/>
              </w:rPr>
              <w:t>області</w:t>
            </w:r>
            <w:proofErr w:type="spellEnd"/>
            <w:r w:rsidR="002B6329">
              <w:rPr>
                <w:rFonts w:cstheme="minorHAnsi"/>
                <w:bCs/>
                <w:sz w:val="24"/>
                <w:szCs w:val="24"/>
                <w:lang w:val="uk-UA"/>
              </w:rPr>
              <w:t xml:space="preserve"> </w:t>
            </w:r>
            <w:r w:rsidRPr="006F321D">
              <w:rPr>
                <w:rFonts w:cstheme="minorHAnsi"/>
                <w:bCs/>
                <w:sz w:val="24"/>
                <w:szCs w:val="24"/>
              </w:rPr>
              <w:t>№1</w:t>
            </w:r>
            <w:r w:rsidR="006F321D" w:rsidRPr="006F321D">
              <w:rPr>
                <w:rFonts w:cstheme="minorHAnsi"/>
                <w:bCs/>
                <w:sz w:val="24"/>
                <w:szCs w:val="24"/>
                <w:lang w:val="uk-UA"/>
              </w:rPr>
              <w:t>810</w:t>
            </w:r>
            <w:r w:rsidR="006F321D" w:rsidRPr="006F321D">
              <w:rPr>
                <w:rFonts w:cstheme="minorHAnsi"/>
                <w:bCs/>
                <w:sz w:val="24"/>
                <w:szCs w:val="24"/>
              </w:rPr>
              <w:t xml:space="preserve"> L</w:t>
            </w:r>
            <w:r w:rsidR="006F321D" w:rsidRPr="006F321D">
              <w:rPr>
                <w:rFonts w:cstheme="minorHAnsi"/>
                <w:bCs/>
                <w:sz w:val="24"/>
                <w:szCs w:val="24"/>
                <w:lang w:val="uk-UA"/>
              </w:rPr>
              <w:t>Х</w:t>
            </w:r>
            <w:r w:rsidRPr="006F321D">
              <w:rPr>
                <w:rFonts w:cstheme="minorHAnsi"/>
                <w:bCs/>
                <w:sz w:val="24"/>
                <w:szCs w:val="24"/>
              </w:rPr>
              <w:t xml:space="preserve">-VIII </w:t>
            </w:r>
            <w:r w:rsidRPr="006F321D">
              <w:rPr>
                <w:rFonts w:cstheme="minorHAnsi"/>
                <w:bCs/>
                <w:sz w:val="24"/>
                <w:szCs w:val="24"/>
                <w:lang w:val="uk-UA"/>
              </w:rPr>
              <w:t xml:space="preserve">від </w:t>
            </w:r>
            <w:r w:rsidR="006F321D" w:rsidRPr="006F321D">
              <w:rPr>
                <w:rFonts w:cstheme="minorHAnsi"/>
                <w:bCs/>
                <w:sz w:val="24"/>
                <w:szCs w:val="24"/>
                <w:lang w:val="uk-UA"/>
              </w:rPr>
              <w:t>21 грудн</w:t>
            </w:r>
            <w:r w:rsidRPr="006F321D">
              <w:rPr>
                <w:rFonts w:cstheme="minorHAnsi"/>
                <w:bCs/>
                <w:sz w:val="24"/>
                <w:szCs w:val="24"/>
                <w:lang w:val="uk-UA"/>
              </w:rPr>
              <w:t>я 2023</w:t>
            </w:r>
            <w:r w:rsidR="00737D9E" w:rsidRPr="006F321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37D9E" w:rsidRPr="00AD2A6D">
              <w:rPr>
                <w:rFonts w:eastAsiaTheme="minorHAnsi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="00737D9E" w:rsidRPr="00AD2A6D">
              <w:rPr>
                <w:rFonts w:eastAsiaTheme="minorHAnsi"/>
                <w:sz w:val="24"/>
                <w:szCs w:val="24"/>
                <w:lang w:eastAsia="en-US"/>
              </w:rPr>
              <w:t>розроблення</w:t>
            </w:r>
            <w:proofErr w:type="spellEnd"/>
            <w:r w:rsidR="00737D9E" w:rsidRPr="00AD2A6D">
              <w:rPr>
                <w:rFonts w:eastAsiaTheme="minorHAnsi"/>
                <w:sz w:val="24"/>
                <w:szCs w:val="24"/>
                <w:lang w:eastAsia="en-US"/>
              </w:rPr>
              <w:t xml:space="preserve"> детального плану </w:t>
            </w:r>
            <w:proofErr w:type="spellStart"/>
            <w:r w:rsidR="00737D9E" w:rsidRPr="00AD2A6D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="00737D9E" w:rsidRPr="00AD2A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37D9E" w:rsidRPr="00821118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Проект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розобляється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деталізації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архітектурно-планувальних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рішень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діючого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генерального плану  с</w:t>
            </w:r>
            <w:proofErr w:type="spellStart"/>
            <w:r w:rsidR="00821118" w:rsidRPr="00821118">
              <w:rPr>
                <w:rFonts w:eastAsiaTheme="minorHAnsi"/>
                <w:sz w:val="24"/>
                <w:szCs w:val="24"/>
                <w:lang w:val="uk-UA" w:eastAsia="en-US"/>
              </w:rPr>
              <w:t>мт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21118" w:rsidRPr="00821118">
              <w:rPr>
                <w:rFonts w:eastAsiaTheme="minorHAnsi"/>
                <w:sz w:val="24"/>
                <w:szCs w:val="24"/>
                <w:lang w:val="uk-UA" w:eastAsia="en-US"/>
              </w:rPr>
              <w:t xml:space="preserve">Велика </w:t>
            </w:r>
            <w:proofErr w:type="spellStart"/>
            <w:r w:rsidR="00821118" w:rsidRPr="00821118">
              <w:rPr>
                <w:rFonts w:eastAsiaTheme="minorHAnsi"/>
                <w:sz w:val="24"/>
                <w:szCs w:val="24"/>
                <w:lang w:val="uk-UA" w:eastAsia="en-US"/>
              </w:rPr>
              <w:t>Димерка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при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цьому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враховано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раціональний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розвиток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територій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напрямки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розвитку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здійснення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інженерного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 в межах </w:t>
            </w:r>
            <w:proofErr w:type="spellStart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21118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CD6839" w:rsidRPr="00EB56A0" w:rsidRDefault="00CD6839" w:rsidP="00CD6839">
            <w:pPr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</w:tr>
      <w:tr w:rsidR="00D02BAE" w:rsidRPr="006F7171" w:rsidTr="00CD6839">
        <w:tc>
          <w:tcPr>
            <w:tcW w:w="426" w:type="dxa"/>
          </w:tcPr>
          <w:p w:rsidR="00CD6839" w:rsidRPr="00D02BAE" w:rsidRDefault="00CD6839" w:rsidP="00151D38">
            <w:pPr>
              <w:rPr>
                <w:color w:val="FF0000"/>
                <w:sz w:val="28"/>
                <w:szCs w:val="28"/>
                <w:lang w:val="uk-UA"/>
              </w:rPr>
            </w:pPr>
            <w:r w:rsidRPr="00D02B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CD6839" w:rsidRPr="00D02BAE" w:rsidRDefault="00CD6839" w:rsidP="00CD6839">
            <w:pPr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02BAE">
              <w:rPr>
                <w:rFonts w:eastAsiaTheme="minorHAnsi"/>
                <w:sz w:val="24"/>
                <w:szCs w:val="24"/>
                <w:lang w:val="uk-UA" w:eastAsia="en-US"/>
              </w:rPr>
              <w:t xml:space="preserve">Якою мірою документ державного планування визначає умови для реалізації видів діяльності або об'єктів, щодо яких законодавством передбачено </w:t>
            </w:r>
            <w:r w:rsidRPr="00D02BAE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здійснення процедури оцінки впливу на довкілля (у тому числі щодо визначення місцезнаходження, розміру, потужності або розміщення ресурсів)</w:t>
            </w:r>
          </w:p>
        </w:tc>
        <w:tc>
          <w:tcPr>
            <w:tcW w:w="7052" w:type="dxa"/>
          </w:tcPr>
          <w:p w:rsidR="00737D9E" w:rsidRPr="00AD4F6D" w:rsidRDefault="00737D9E" w:rsidP="00737D9E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Загальна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площа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ділянки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F7171" w:rsidRPr="00AD4F6D">
              <w:rPr>
                <w:sz w:val="24"/>
                <w:szCs w:val="24"/>
                <w:lang w:val="uk-UA"/>
              </w:rPr>
              <w:t>2</w:t>
            </w:r>
            <w:r w:rsidR="00AD2A6D" w:rsidRPr="00AD4F6D">
              <w:rPr>
                <w:sz w:val="24"/>
                <w:szCs w:val="24"/>
                <w:lang w:val="uk-UA"/>
              </w:rPr>
              <w:t>,</w:t>
            </w:r>
            <w:r w:rsidR="006F7171" w:rsidRPr="00AD4F6D">
              <w:rPr>
                <w:sz w:val="24"/>
                <w:szCs w:val="24"/>
                <w:lang w:val="uk-UA"/>
              </w:rPr>
              <w:t>1999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га. </w:t>
            </w:r>
          </w:p>
          <w:p w:rsidR="00737D9E" w:rsidRPr="00AD4F6D" w:rsidRDefault="00737D9E" w:rsidP="00737D9E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У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функціональному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відношенні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територія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F7171" w:rsidRPr="00AD4F6D">
              <w:rPr>
                <w:rFonts w:eastAsiaTheme="minorHAnsi"/>
                <w:sz w:val="24"/>
                <w:szCs w:val="24"/>
                <w:lang w:val="uk-UA" w:eastAsia="en-US"/>
              </w:rPr>
              <w:t>розміщення у виробничій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зо</w:t>
            </w:r>
            <w:proofErr w:type="spellEnd"/>
            <w:r w:rsidR="006F7171" w:rsidRPr="00AD4F6D">
              <w:rPr>
                <w:rFonts w:eastAsiaTheme="minorHAnsi"/>
                <w:sz w:val="24"/>
                <w:szCs w:val="24"/>
                <w:lang w:val="uk-UA" w:eastAsia="en-US"/>
              </w:rPr>
              <w:t>і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6F7171" w:rsidRPr="00AD4F6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даний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час </w:t>
            </w:r>
            <w:r w:rsidR="00D02BAE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="00D02BAE" w:rsidRPr="00AD4F6D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="00D02BAE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02BAE" w:rsidRPr="00AD4F6D">
              <w:rPr>
                <w:rFonts w:eastAsiaTheme="minorHAnsi"/>
                <w:sz w:val="24"/>
                <w:szCs w:val="24"/>
                <w:lang w:eastAsia="en-US"/>
              </w:rPr>
              <w:t>відсутні</w:t>
            </w:r>
            <w:proofErr w:type="spellEnd"/>
            <w:r w:rsidR="00D02BAE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02BAE" w:rsidRPr="00AD4F6D">
              <w:rPr>
                <w:rFonts w:eastAsiaTheme="minorHAnsi"/>
                <w:sz w:val="24"/>
                <w:szCs w:val="24"/>
                <w:lang w:eastAsia="en-US"/>
              </w:rPr>
              <w:t>будівлі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Територія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має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F7171" w:rsidRPr="00AD4F6D">
              <w:rPr>
                <w:rFonts w:eastAsiaTheme="minorHAnsi"/>
                <w:sz w:val="24"/>
                <w:szCs w:val="24"/>
                <w:lang w:val="uk-UA" w:eastAsia="en-US"/>
              </w:rPr>
              <w:t>сполучення</w:t>
            </w:r>
            <w:r w:rsidR="006F7171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з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F7171" w:rsidRPr="00AD4F6D">
              <w:rPr>
                <w:rFonts w:eastAsiaTheme="minorHAnsi"/>
                <w:sz w:val="24"/>
                <w:szCs w:val="24"/>
                <w:lang w:val="uk-UA" w:eastAsia="en-US"/>
              </w:rPr>
              <w:t>авто-магістраллю міжнародного значення Київ-Чернігів та дорогу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місцевого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значення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6F7171" w:rsidRDefault="006F7171" w:rsidP="006F7171">
            <w:pPr>
              <w:rPr>
                <w:sz w:val="24"/>
                <w:szCs w:val="24"/>
                <w:lang w:val="uk-UA"/>
              </w:rPr>
            </w:pPr>
            <w:r w:rsidRPr="00CB71EE">
              <w:rPr>
                <w:sz w:val="24"/>
                <w:szCs w:val="24"/>
                <w:lang w:val="uk-UA"/>
              </w:rPr>
              <w:t xml:space="preserve">На сьогодні територія розроблення ДПТ не використовується за цільовим призначенням. Проектними рішеннями даного ДПТ </w:t>
            </w:r>
            <w:r w:rsidRPr="00CB71EE">
              <w:rPr>
                <w:sz w:val="24"/>
                <w:szCs w:val="24"/>
                <w:lang w:val="uk-UA"/>
              </w:rPr>
              <w:lastRenderedPageBreak/>
              <w:t xml:space="preserve">передбачається освоєння території на короткостроковий (до 5 років) періоди. </w:t>
            </w:r>
          </w:p>
          <w:p w:rsidR="006F7171" w:rsidRDefault="006F7171" w:rsidP="006F71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ділянці планується</w:t>
            </w:r>
            <w:r w:rsidRPr="00CB71EE">
              <w:rPr>
                <w:sz w:val="24"/>
                <w:szCs w:val="24"/>
                <w:lang w:val="uk-UA"/>
              </w:rPr>
              <w:t xml:space="preserve">: </w:t>
            </w:r>
          </w:p>
          <w:p w:rsidR="00CD6839" w:rsidRPr="00AD4F6D" w:rsidRDefault="006F7171" w:rsidP="00AD4F6D">
            <w:pPr>
              <w:rPr>
                <w:sz w:val="24"/>
                <w:szCs w:val="24"/>
                <w:lang w:val="uk-UA"/>
              </w:rPr>
            </w:pPr>
            <w:r w:rsidRPr="00AD4F6D">
              <w:rPr>
                <w:sz w:val="24"/>
                <w:szCs w:val="24"/>
                <w:lang w:val="uk-UA"/>
              </w:rPr>
              <w:t xml:space="preserve">Склади </w:t>
            </w:r>
            <w:r w:rsidR="00AD4F6D" w:rsidRPr="00AD4F6D">
              <w:rPr>
                <w:sz w:val="24"/>
                <w:szCs w:val="24"/>
                <w:lang w:val="en-US"/>
              </w:rPr>
              <w:t>V</w:t>
            </w:r>
            <w:r w:rsidR="00AD4F6D" w:rsidRPr="00AD4F6D">
              <w:rPr>
                <w:sz w:val="24"/>
                <w:szCs w:val="24"/>
                <w:lang w:val="uk-UA"/>
              </w:rPr>
              <w:t xml:space="preserve"> наслідків</w:t>
            </w:r>
            <w:r w:rsidRPr="00AD4F6D">
              <w:rPr>
                <w:sz w:val="24"/>
                <w:szCs w:val="24"/>
                <w:lang w:val="uk-UA"/>
              </w:rPr>
              <w:t>, очисні споруди господарсько-побутової каналізації, очисні споруди дощової каналізації, накопичувальні резервуари очищених стоків</w:t>
            </w:r>
            <w:r w:rsidR="00AD4F6D" w:rsidRPr="00AD4F6D">
              <w:rPr>
                <w:sz w:val="24"/>
                <w:szCs w:val="24"/>
                <w:lang w:val="uk-UA"/>
              </w:rPr>
              <w:t>, автостоянки, адміністративно-побутовий блок</w:t>
            </w:r>
            <w:r w:rsidRPr="00AD4F6D">
              <w:rPr>
                <w:sz w:val="24"/>
                <w:szCs w:val="24"/>
                <w:lang w:val="uk-UA"/>
              </w:rPr>
              <w:t xml:space="preserve">. </w:t>
            </w:r>
          </w:p>
          <w:p w:rsidR="00AD4F6D" w:rsidRPr="00AD4F6D" w:rsidRDefault="00AD4F6D" w:rsidP="00AD4F6D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D02BAE" w:rsidRPr="00D02BAE" w:rsidTr="00CD6839">
        <w:tc>
          <w:tcPr>
            <w:tcW w:w="426" w:type="dxa"/>
          </w:tcPr>
          <w:p w:rsidR="00CD6839" w:rsidRPr="00D02BAE" w:rsidRDefault="00CD6839" w:rsidP="00151D38">
            <w:pPr>
              <w:rPr>
                <w:sz w:val="28"/>
                <w:szCs w:val="28"/>
                <w:lang w:val="uk-UA"/>
              </w:rPr>
            </w:pPr>
            <w:r w:rsidRPr="00D02BAE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410" w:type="dxa"/>
          </w:tcPr>
          <w:p w:rsidR="00CD6839" w:rsidRPr="00D02BAE" w:rsidRDefault="00CD6839" w:rsidP="00CD6839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Ймовірні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наслідки</w:t>
            </w:r>
            <w:proofErr w:type="spellEnd"/>
          </w:p>
          <w:p w:rsidR="00CD6839" w:rsidRPr="00D02BAE" w:rsidRDefault="00CD6839" w:rsidP="00CD6839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- для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довкілля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, у тому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числі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здоров'я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</w:p>
          <w:p w:rsidR="00CD6839" w:rsidRPr="00D02BAE" w:rsidRDefault="00CD6839" w:rsidP="00151D3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737D9E" w:rsidRPr="00AD4F6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а) –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викиди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забруднюючих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речовин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атмосферне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повітря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від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пересувних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джерел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забруднення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, а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саме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викиди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автомобільного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, транспорту та </w:t>
            </w:r>
            <w:r w:rsidR="00AD4F6D" w:rsidRPr="00AD4F6D">
              <w:rPr>
                <w:rFonts w:eastAsiaTheme="minorHAnsi"/>
                <w:sz w:val="24"/>
                <w:szCs w:val="24"/>
                <w:lang w:val="uk-UA" w:eastAsia="en-US"/>
              </w:rPr>
              <w:t>складської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техніки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AD4F6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4F6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в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період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будівництва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об’єктів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незначний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вплив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на стан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повітря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AD4F6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4F6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в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процесі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експлуатації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водопостачання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із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проект</w:t>
            </w:r>
            <w:r w:rsidR="00D02BAE" w:rsidRPr="00AD4F6D">
              <w:rPr>
                <w:rFonts w:eastAsiaTheme="minorHAnsi"/>
                <w:sz w:val="24"/>
                <w:szCs w:val="24"/>
                <w:lang w:eastAsia="en-US"/>
              </w:rPr>
              <w:t>ованої</w:t>
            </w:r>
            <w:proofErr w:type="spellEnd"/>
            <w:r w:rsidR="00D02BAE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02BAE" w:rsidRPr="00AD4F6D">
              <w:rPr>
                <w:rFonts w:eastAsiaTheme="minorHAnsi"/>
                <w:sz w:val="24"/>
                <w:szCs w:val="24"/>
                <w:lang w:eastAsia="en-US"/>
              </w:rPr>
              <w:t>свердловини</w:t>
            </w:r>
            <w:proofErr w:type="spellEnd"/>
            <w:r w:rsidR="00D02BAE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D4F6D" w:rsidRPr="00AD4F6D">
              <w:rPr>
                <w:rFonts w:eastAsiaTheme="minorHAnsi"/>
                <w:sz w:val="24"/>
                <w:szCs w:val="24"/>
                <w:lang w:val="uk-UA" w:eastAsia="en-US"/>
              </w:rPr>
              <w:t>за межами ділянки, та трубчастого колодязю розміщеного на території ділянки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. Скид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стічних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вод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відбуватиметься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локальних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очисних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споруд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подальшим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їх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використянням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для поливу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територій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та для повторного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використвння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технічних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потребах. </w:t>
            </w:r>
          </w:p>
          <w:p w:rsidR="00737D9E" w:rsidRPr="00AD4F6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4F6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порушення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руйнування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ґрунтів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під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час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будівництва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трансформація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шарів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землі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руху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транспортних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засобів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вібрацій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від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процесів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які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можуть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підсилюватись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під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впливом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природних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чинників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вітру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дощових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потоків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тощо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AD4F6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4F6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акустичне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забруднення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розрахунковий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гранично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допустимий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рівень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r w:rsidR="00D02BAE" w:rsidRPr="00AD4F6D">
              <w:rPr>
                <w:rFonts w:eastAsiaTheme="minorHAnsi"/>
                <w:sz w:val="24"/>
                <w:szCs w:val="24"/>
                <w:lang w:val="uk-UA" w:eastAsia="en-US"/>
              </w:rPr>
              <w:t>найближчій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житловій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забудові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перевищувати</w:t>
            </w:r>
            <w:r w:rsidR="00D02BAE" w:rsidRPr="00AD4F6D">
              <w:rPr>
                <w:rFonts w:eastAsiaTheme="minorHAnsi"/>
                <w:sz w:val="24"/>
                <w:szCs w:val="24"/>
                <w:lang w:val="uk-UA" w:eastAsia="en-US"/>
              </w:rPr>
              <w:t>ме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допустимий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рівень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шуму на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населених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місць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AD4F6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4F6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AD4F6D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на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соціальне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середовище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створення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нових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робочих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місць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розвиток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інфраструктури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сел</w:t>
            </w:r>
            <w:proofErr w:type="spellStart"/>
            <w:r w:rsidR="00AD2A6D" w:rsidRPr="00AD4F6D">
              <w:rPr>
                <w:rFonts w:eastAsiaTheme="minorHAnsi"/>
                <w:sz w:val="24"/>
                <w:szCs w:val="24"/>
                <w:lang w:val="uk-UA" w:eastAsia="en-US"/>
              </w:rPr>
              <w:t>ища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D6839" w:rsidRPr="00AD4F6D" w:rsidRDefault="00CD6839" w:rsidP="00151D38">
            <w:pPr>
              <w:rPr>
                <w:sz w:val="28"/>
                <w:szCs w:val="28"/>
              </w:rPr>
            </w:pPr>
          </w:p>
        </w:tc>
      </w:tr>
      <w:tr w:rsidR="00D02BAE" w:rsidRPr="00D02BAE" w:rsidTr="00CD6839">
        <w:tc>
          <w:tcPr>
            <w:tcW w:w="426" w:type="dxa"/>
          </w:tcPr>
          <w:p w:rsidR="00CD6839" w:rsidRPr="00D02BAE" w:rsidRDefault="00CD6839" w:rsidP="00151D3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839" w:rsidRPr="00D02BAE" w:rsidRDefault="00CD6839" w:rsidP="00CD6839">
            <w:pPr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D02BAE">
              <w:rPr>
                <w:rFonts w:eastAsiaTheme="minorHAnsi"/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val="en-US" w:eastAsia="en-US"/>
              </w:rPr>
              <w:t>територій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val="en-US" w:eastAsia="en-US"/>
              </w:rPr>
              <w:t xml:space="preserve"> з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val="en-US" w:eastAsia="en-US"/>
              </w:rPr>
              <w:t>природоохоронним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val="en-US" w:eastAsia="en-US"/>
              </w:rPr>
              <w:t>статусом</w:t>
            </w:r>
            <w:proofErr w:type="spellEnd"/>
          </w:p>
          <w:p w:rsidR="00CD6839" w:rsidRPr="00D02BAE" w:rsidRDefault="00CD6839" w:rsidP="00151D3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737D9E" w:rsidRPr="00AD4F6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б) для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територій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природоохоронним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статусом –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земельна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ділянка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яка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розглядається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детальним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планом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знаходиться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поза межами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об’єктів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територій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природно-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заповідного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фонду,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отже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вплив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передбачається</w:t>
            </w:r>
            <w:proofErr w:type="spellEnd"/>
            <w:r w:rsidRPr="00AD4F6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D6839" w:rsidRPr="00AD4F6D" w:rsidRDefault="00CD6839" w:rsidP="00151D38">
            <w:pPr>
              <w:rPr>
                <w:sz w:val="28"/>
                <w:szCs w:val="28"/>
              </w:rPr>
            </w:pPr>
          </w:p>
        </w:tc>
      </w:tr>
      <w:tr w:rsidR="00D02BAE" w:rsidRPr="00D02BAE" w:rsidTr="00CD6839">
        <w:tc>
          <w:tcPr>
            <w:tcW w:w="426" w:type="dxa"/>
          </w:tcPr>
          <w:p w:rsidR="00CD6839" w:rsidRPr="00D02BAE" w:rsidRDefault="00CD6839" w:rsidP="00151D3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839" w:rsidRPr="00D02BAE" w:rsidRDefault="00CD6839" w:rsidP="00CD6839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Транскордонні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наслідки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довкілля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, у тому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числі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здоров'я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</w:p>
          <w:p w:rsidR="00CD6839" w:rsidRPr="00D02BAE" w:rsidRDefault="00CD6839" w:rsidP="00151D3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CD6839" w:rsidRPr="00AD4F6D" w:rsidRDefault="00737D9E" w:rsidP="00CD6839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4F6D">
              <w:rPr>
                <w:rFonts w:eastAsiaTheme="minorHAnsi"/>
                <w:sz w:val="24"/>
                <w:szCs w:val="24"/>
                <w:lang w:val="uk-UA" w:eastAsia="en-US"/>
              </w:rPr>
              <w:t xml:space="preserve">в) </w:t>
            </w:r>
            <w:proofErr w:type="spellStart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>транскордонні</w:t>
            </w:r>
            <w:proofErr w:type="spellEnd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>наслідки</w:t>
            </w:r>
            <w:proofErr w:type="spellEnd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, у тому </w:t>
            </w:r>
            <w:proofErr w:type="spellStart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>числі</w:t>
            </w:r>
            <w:proofErr w:type="spellEnd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>здоров’я</w:t>
            </w:r>
            <w:proofErr w:type="spellEnd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>транскордонний</w:t>
            </w:r>
            <w:proofErr w:type="spellEnd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>плив</w:t>
            </w:r>
            <w:proofErr w:type="spellEnd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>відсутній</w:t>
            </w:r>
            <w:proofErr w:type="spellEnd"/>
            <w:r w:rsidR="00CD6839" w:rsidRPr="00AD4F6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D6839" w:rsidRPr="00AD4F6D" w:rsidRDefault="00CD6839" w:rsidP="00151D38">
            <w:pPr>
              <w:rPr>
                <w:sz w:val="28"/>
                <w:szCs w:val="28"/>
              </w:rPr>
            </w:pPr>
          </w:p>
        </w:tc>
      </w:tr>
      <w:tr w:rsidR="00D02BAE" w:rsidRPr="00D02BAE" w:rsidTr="00CD6839">
        <w:tc>
          <w:tcPr>
            <w:tcW w:w="426" w:type="dxa"/>
          </w:tcPr>
          <w:p w:rsidR="00CD6839" w:rsidRPr="00D02BAE" w:rsidRDefault="00CD6839" w:rsidP="00151D38">
            <w:pPr>
              <w:rPr>
                <w:sz w:val="28"/>
                <w:szCs w:val="28"/>
                <w:lang w:val="uk-UA"/>
              </w:rPr>
            </w:pPr>
            <w:r w:rsidRPr="00D02B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CD6839" w:rsidRPr="00D02BAE" w:rsidRDefault="00CD6839" w:rsidP="00CD6839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Виправдані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альтернативи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які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необхідно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розглянути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, у тому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числі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якщо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документ державного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планування</w:t>
            </w:r>
            <w:proofErr w:type="spellEnd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 xml:space="preserve"> не буде </w:t>
            </w:r>
            <w:proofErr w:type="spellStart"/>
            <w:r w:rsidRPr="00D02BAE">
              <w:rPr>
                <w:rFonts w:eastAsiaTheme="minorHAnsi"/>
                <w:sz w:val="24"/>
                <w:szCs w:val="24"/>
                <w:lang w:eastAsia="en-US"/>
              </w:rPr>
              <w:t>затверджено</w:t>
            </w:r>
            <w:proofErr w:type="spellEnd"/>
          </w:p>
          <w:p w:rsidR="00CD6839" w:rsidRPr="00D02BAE" w:rsidRDefault="00CD6839" w:rsidP="00151D3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CD6839" w:rsidRPr="006F321D" w:rsidRDefault="007E386B" w:rsidP="00151D38">
            <w:pPr>
              <w:rPr>
                <w:color w:val="FF0000"/>
                <w:sz w:val="24"/>
                <w:szCs w:val="24"/>
              </w:rPr>
            </w:pPr>
            <w:r w:rsidRPr="008B489F">
              <w:rPr>
                <w:sz w:val="24"/>
                <w:szCs w:val="24"/>
                <w:lang w:val="uk-UA"/>
              </w:rPr>
              <w:t xml:space="preserve">У разі не затвердження детального плану території альтернативні варіанти використання території будуть розглянуті на засіданні архітектурно-містобудівної ради. У контексті СЕО ДДП з метою розгляду альтернативних </w:t>
            </w:r>
            <w:proofErr w:type="spellStart"/>
            <w:r w:rsidRPr="008B489F">
              <w:rPr>
                <w:sz w:val="24"/>
                <w:szCs w:val="24"/>
                <w:lang w:val="uk-UA"/>
              </w:rPr>
              <w:t>проєктних</w:t>
            </w:r>
            <w:proofErr w:type="spellEnd"/>
            <w:r w:rsidRPr="008B489F">
              <w:rPr>
                <w:sz w:val="24"/>
                <w:szCs w:val="24"/>
                <w:lang w:val="uk-UA"/>
              </w:rPr>
              <w:t xml:space="preserve"> рішень і їх екологічних наслідків необхідно розглянути наступні альтернативи: «Нульова альтернатива», «Максимально сприятливий сценарій» та ін.</w:t>
            </w:r>
          </w:p>
        </w:tc>
      </w:tr>
      <w:tr w:rsidR="00D02BAE" w:rsidRPr="00D02BAE" w:rsidTr="00CD6839">
        <w:tc>
          <w:tcPr>
            <w:tcW w:w="426" w:type="dxa"/>
          </w:tcPr>
          <w:p w:rsidR="00CD6839" w:rsidRPr="00226304" w:rsidRDefault="00CD6839" w:rsidP="00151D38">
            <w:pPr>
              <w:rPr>
                <w:sz w:val="28"/>
                <w:szCs w:val="28"/>
                <w:lang w:val="uk-UA"/>
              </w:rPr>
            </w:pPr>
            <w:r w:rsidRPr="0022630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CD6839" w:rsidRPr="00226304" w:rsidRDefault="00CD6839" w:rsidP="00CD6839">
            <w:pPr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26304">
              <w:rPr>
                <w:rFonts w:eastAsiaTheme="minorHAnsi"/>
                <w:sz w:val="24"/>
                <w:szCs w:val="24"/>
                <w:lang w:val="uk-UA" w:eastAsia="en-US"/>
              </w:rPr>
              <w:t xml:space="preserve">Дослідження, які необхідно провести, методи і критерії, що </w:t>
            </w:r>
            <w:r w:rsidRPr="00226304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використовуватимуться під час стратегічної екологічної оцінки</w:t>
            </w:r>
          </w:p>
          <w:p w:rsidR="00CD6839" w:rsidRPr="00226304" w:rsidRDefault="00CD6839" w:rsidP="00151D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Основною метою прогнозу є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оцінка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можливої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реакції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навколишнього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природного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прямий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чи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опосередкований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вплив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людини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вирішення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задач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раціонального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природокористування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відповідності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очікуваним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станом природного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здійснення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стратегічної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екологічної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оцінки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будуть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використовуватись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логічні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формалізовані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методи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прогнозування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підготовки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звіту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СЕО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передбачається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використовувати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наступну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доповіді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про стан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довкілля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статистичну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інформація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яка включена в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інші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акти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які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мають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відношення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до проекту ДПТ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дані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моніторингу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стану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довкілля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інша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доступна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інформація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Основним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критерієм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під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час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стратегічної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екологічної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оцінки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проекту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містобудівної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документації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є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її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відповідність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державним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будівельним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нормам,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санітарним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нормам і правилам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України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законодавству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сфері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охорони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навколишнього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природного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Під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час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підготовки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звіту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стратегічної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екологічної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оцінки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визначити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доцільність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прийнятність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планованої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обґрунтування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економічних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технічних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організаційних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санітарних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, державно-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правових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інших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заходів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щодо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безпеки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навколишнього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Розробити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комплекс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заходів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спрямований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виявлення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характеру,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інтенсивності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ступеня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небезпеки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впливу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на стан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навколишнього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здоров'я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будь-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якого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виду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планованої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господарської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вивчити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регіональному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плані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природні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умови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яка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межує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ділянкою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розміщення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планованої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включаючи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характеристику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поверхневих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водних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систем,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ландшафтів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рельєф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родючі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ґрунти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рослинність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.), геолого-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гідрогеологічні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інших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компонентів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природного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розглянути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природні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ресурси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обмеженим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режимом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їх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в тому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числі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водоспоживання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водовідведення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забруднення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атмосферного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оцінити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можливі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зміни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природних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антропогенних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екосистемах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визначити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шляхи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мінімізації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негативного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впливу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навколишнє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середовище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зібрати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проаналізувати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об’єкти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розміщення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відходів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види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обсяги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відходів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місця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їх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накопичення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природоохоронні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споруди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експлуатаційні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можливості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93AC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повідомити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громадськість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ефективність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проекту і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можливі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екологічні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наслідки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493AC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ході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СЕО провести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оцінку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факторів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ризику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потенційного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впливу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на стан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довкілля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врахувати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екологічні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завдання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місцевого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рівня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інтересах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ефективного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стабільного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соціально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розвитку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району та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підвищення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якості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життя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493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D6839" w:rsidRPr="00493ACB" w:rsidRDefault="00CD6839" w:rsidP="00151D38">
            <w:pPr>
              <w:rPr>
                <w:sz w:val="28"/>
                <w:szCs w:val="28"/>
              </w:rPr>
            </w:pPr>
          </w:p>
        </w:tc>
      </w:tr>
      <w:tr w:rsidR="00D02BAE" w:rsidRPr="00D02BAE" w:rsidTr="00CD6839">
        <w:tc>
          <w:tcPr>
            <w:tcW w:w="426" w:type="dxa"/>
          </w:tcPr>
          <w:p w:rsidR="00CD6839" w:rsidRPr="00D02BAE" w:rsidRDefault="002C0C98" w:rsidP="00151D38">
            <w:pPr>
              <w:rPr>
                <w:color w:val="FF0000"/>
                <w:sz w:val="28"/>
                <w:szCs w:val="28"/>
                <w:lang w:val="uk-UA"/>
              </w:rPr>
            </w:pPr>
            <w:r w:rsidRPr="004D240C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10" w:type="dxa"/>
          </w:tcPr>
          <w:p w:rsidR="002C0C98" w:rsidRPr="00226304" w:rsidRDefault="002C0C98" w:rsidP="002C0C98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Заходи,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які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передбачається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розглянути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запобігання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зменшення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пом'якшення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негативних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наслідків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 державного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планування</w:t>
            </w:r>
            <w:proofErr w:type="spellEnd"/>
          </w:p>
          <w:p w:rsidR="00CD6839" w:rsidRPr="00226304" w:rsidRDefault="00CD6839" w:rsidP="00CD6839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52" w:type="dxa"/>
          </w:tcPr>
          <w:p w:rsidR="00737D9E" w:rsidRPr="005B7175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Заходи,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які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передбачається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розглянути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запобігання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зменшення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пом’якшення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негативних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наслідків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ДПТ:</w:t>
            </w:r>
          </w:p>
          <w:p w:rsidR="00737D9E" w:rsidRPr="005B7175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Зважаючи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державну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політику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галузі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енергозбереження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екологічної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безпеки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раціонального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природних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ресурсів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при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будівництві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об`єкту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доцільно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максимально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повно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використовувати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сучасні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високоефективні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екоенергозберігаючі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технології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матеріали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інженерне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високим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коефіцієнтом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корисної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дії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тощо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5B7175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Заходи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спрямовані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запобігання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відвернення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уникнення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зменшення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усунення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значного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негативного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впливу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навколишнє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середовище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37D9E" w:rsidRPr="005B7175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облаштування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ділянок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водопровідних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споруд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бурінням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ново</w:t>
            </w:r>
            <w:r w:rsidR="005B7175" w:rsidRPr="005B7175">
              <w:rPr>
                <w:rFonts w:eastAsiaTheme="minorHAnsi"/>
                <w:sz w:val="24"/>
                <w:szCs w:val="24"/>
                <w:lang w:val="uk-UA" w:eastAsia="en-US"/>
              </w:rPr>
              <w:t>го трубчастого колодязю</w:t>
            </w:r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прокладка мереж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водопостачання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улаштування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локальних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очисних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споруд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очисних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споруд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відведення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поверхневого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стоку з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встановлення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контейнерів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збору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побутових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відходів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5B7175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При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здійсненні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планованої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відповідності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вимог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статті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24 Закону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України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«Про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санітарного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епідемічного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благополуччя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» з метою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відвернення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зменшення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шкідливого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впливу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здоров’я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шуму,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неіонізуючих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випромінювань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інших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фізичних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факторів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будуть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розглядатися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37D9E" w:rsidRPr="005B7175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відповідні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організаційні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господарські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технічні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технологічні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архітектурно-будівельні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інші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заходи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щодо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попередження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утворення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зниження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шуму до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рівнів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установлених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санітарними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нормами;</w:t>
            </w:r>
          </w:p>
          <w:p w:rsidR="00CD6839" w:rsidRPr="005B7175" w:rsidRDefault="00CD6839" w:rsidP="00CD6839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2BAE" w:rsidRPr="0086634A" w:rsidTr="00CD6839">
        <w:tc>
          <w:tcPr>
            <w:tcW w:w="426" w:type="dxa"/>
          </w:tcPr>
          <w:p w:rsidR="00CD6839" w:rsidRPr="00226304" w:rsidRDefault="002C0C98" w:rsidP="00151D38">
            <w:pPr>
              <w:rPr>
                <w:sz w:val="28"/>
                <w:szCs w:val="28"/>
                <w:lang w:val="uk-UA"/>
              </w:rPr>
            </w:pPr>
            <w:r w:rsidRPr="0022630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2C0C98" w:rsidRPr="00226304" w:rsidRDefault="002C0C98" w:rsidP="002C0C98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Пропозиції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щодо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структури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змісту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звіту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стратегічну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екологічну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оцінку</w:t>
            </w:r>
            <w:proofErr w:type="spellEnd"/>
          </w:p>
          <w:p w:rsidR="00CD6839" w:rsidRPr="00226304" w:rsidRDefault="00CD6839" w:rsidP="00CD6839">
            <w:pPr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7052" w:type="dxa"/>
          </w:tcPr>
          <w:p w:rsidR="002C0C98" w:rsidRPr="005B7175" w:rsidRDefault="002C0C98" w:rsidP="002C0C98">
            <w:pPr>
              <w:tabs>
                <w:tab w:val="left" w:pos="7200"/>
              </w:tabs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B7175">
              <w:rPr>
                <w:rFonts w:eastAsiaTheme="minorHAnsi"/>
                <w:sz w:val="24"/>
                <w:szCs w:val="24"/>
                <w:lang w:val="uk-UA" w:eastAsia="en-US"/>
              </w:rPr>
              <w:t>Відповідно до статті 11 Закону України «Про стратегічну екологічну оцінку» у складі містобудівної документації звітом про стратегічну екологічну оцінку для проектів містобудівної документації є розділ «Охорона навколишнього природного середовища».</w:t>
            </w:r>
          </w:p>
          <w:p w:rsidR="00CD6839" w:rsidRPr="006F321D" w:rsidRDefault="00CD6839" w:rsidP="00CD6839">
            <w:pPr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D02BAE" w:rsidRPr="00D02BAE" w:rsidTr="00CD6839">
        <w:tc>
          <w:tcPr>
            <w:tcW w:w="426" w:type="dxa"/>
          </w:tcPr>
          <w:p w:rsidR="002C0C98" w:rsidRPr="00226304" w:rsidRDefault="002C0C98" w:rsidP="00151D38">
            <w:pPr>
              <w:rPr>
                <w:sz w:val="28"/>
                <w:szCs w:val="28"/>
                <w:lang w:val="uk-UA"/>
              </w:rPr>
            </w:pPr>
            <w:r w:rsidRPr="0022630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2C0C98" w:rsidRPr="00226304" w:rsidRDefault="002C0C98" w:rsidP="002C0C98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Орган, до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якого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подаються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зауваження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пропозиції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, та строки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їх</w:t>
            </w:r>
            <w:proofErr w:type="spellEnd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304">
              <w:rPr>
                <w:rFonts w:eastAsiaTheme="minorHAnsi"/>
                <w:sz w:val="24"/>
                <w:szCs w:val="24"/>
                <w:lang w:eastAsia="en-US"/>
              </w:rPr>
              <w:t>подання</w:t>
            </w:r>
            <w:proofErr w:type="spellEnd"/>
          </w:p>
          <w:p w:rsidR="002C0C98" w:rsidRPr="00226304" w:rsidRDefault="002C0C98" w:rsidP="002C0C98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52" w:type="dxa"/>
          </w:tcPr>
          <w:p w:rsidR="00F95D9C" w:rsidRPr="005B7175" w:rsidRDefault="00F95D9C" w:rsidP="00F95D9C">
            <w:pPr>
              <w:adjustRightInd w:val="0"/>
              <w:spacing w:before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Зауваження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пропозиції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надаються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Великодимерської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селищної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ради за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адресою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вул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Бобрицька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1,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смт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Велика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Димерка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Броварський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р-н,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Київська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обл. 07442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або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електронну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пошту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val="en-US" w:eastAsia="en-US"/>
              </w:rPr>
              <w:t>otg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@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val="en-US" w:eastAsia="en-US"/>
              </w:rPr>
              <w:t>vdsr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val="en-US" w:eastAsia="en-US"/>
              </w:rPr>
              <w:t>ua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37D9E" w:rsidRPr="005B7175" w:rsidRDefault="00737D9E" w:rsidP="00737D9E">
            <w:pPr>
              <w:adjustRightInd w:val="0"/>
              <w:spacing w:before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Строк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подання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зауважень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>пропозицій</w:t>
            </w:r>
            <w:proofErr w:type="spellEnd"/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r w:rsidR="00226304" w:rsidRPr="005B7175">
              <w:rPr>
                <w:sz w:val="24"/>
                <w:szCs w:val="24"/>
              </w:rPr>
              <w:t>2</w:t>
            </w:r>
            <w:r w:rsidR="005B7175" w:rsidRPr="005B7175">
              <w:rPr>
                <w:sz w:val="24"/>
                <w:szCs w:val="24"/>
                <w:lang w:val="uk-UA"/>
              </w:rPr>
              <w:t>0</w:t>
            </w:r>
            <w:r w:rsidR="00226304" w:rsidRPr="005B7175">
              <w:rPr>
                <w:sz w:val="24"/>
                <w:szCs w:val="24"/>
              </w:rPr>
              <w:t>.0</w:t>
            </w:r>
            <w:r w:rsidR="005B7175" w:rsidRPr="005B7175">
              <w:rPr>
                <w:sz w:val="24"/>
                <w:szCs w:val="24"/>
                <w:lang w:val="uk-UA"/>
              </w:rPr>
              <w:t>2</w:t>
            </w:r>
            <w:r w:rsidR="00226304" w:rsidRPr="005B7175">
              <w:rPr>
                <w:sz w:val="24"/>
                <w:szCs w:val="24"/>
              </w:rPr>
              <w:t>.202</w:t>
            </w:r>
            <w:r w:rsidR="005B7175" w:rsidRPr="005B7175">
              <w:rPr>
                <w:sz w:val="24"/>
                <w:szCs w:val="24"/>
                <w:lang w:val="uk-UA"/>
              </w:rPr>
              <w:t>4</w:t>
            </w:r>
            <w:r w:rsidRPr="005B7175">
              <w:rPr>
                <w:rFonts w:eastAsiaTheme="minorHAnsi"/>
                <w:sz w:val="24"/>
                <w:szCs w:val="24"/>
                <w:lang w:eastAsia="en-US"/>
              </w:rPr>
              <w:t xml:space="preserve">р по </w:t>
            </w:r>
            <w:r w:rsidR="005B7175" w:rsidRPr="005B7175">
              <w:rPr>
                <w:rFonts w:eastAsiaTheme="minorHAnsi"/>
                <w:sz w:val="24"/>
                <w:szCs w:val="24"/>
                <w:lang w:val="uk-UA" w:eastAsia="en-US"/>
              </w:rPr>
              <w:t>08</w:t>
            </w:r>
            <w:r w:rsidRPr="005B71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226304" w:rsidRPr="005B7175">
              <w:rPr>
                <w:rFonts w:eastAsiaTheme="minorHAnsi"/>
                <w:sz w:val="24"/>
                <w:szCs w:val="24"/>
                <w:lang w:val="uk-UA" w:eastAsia="en-US"/>
              </w:rPr>
              <w:t>0</w:t>
            </w:r>
            <w:r w:rsidR="005B7175" w:rsidRPr="005B7175">
              <w:rPr>
                <w:rFonts w:eastAsiaTheme="minorHAnsi"/>
                <w:sz w:val="24"/>
                <w:szCs w:val="24"/>
                <w:lang w:val="uk-UA" w:eastAsia="en-US"/>
              </w:rPr>
              <w:t>3</w:t>
            </w:r>
            <w:r w:rsidRPr="005B7175"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 w:rsidR="005B7175" w:rsidRPr="005B7175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  <w:r w:rsidRPr="005B7175">
              <w:rPr>
                <w:rFonts w:eastAsiaTheme="minorHAnsi"/>
                <w:sz w:val="24"/>
                <w:szCs w:val="24"/>
                <w:lang w:eastAsia="en-US"/>
              </w:rPr>
              <w:t>р.</w:t>
            </w:r>
          </w:p>
          <w:p w:rsidR="002C0C98" w:rsidRPr="006F321D" w:rsidRDefault="002C0C98" w:rsidP="002C0C98">
            <w:pPr>
              <w:tabs>
                <w:tab w:val="left" w:pos="7200"/>
              </w:tabs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D6839" w:rsidRPr="00D02BAE" w:rsidRDefault="00CD6839" w:rsidP="00151D38">
      <w:pPr>
        <w:ind w:left="600"/>
        <w:rPr>
          <w:color w:val="FF0000"/>
          <w:sz w:val="28"/>
          <w:szCs w:val="28"/>
          <w:lang w:val="uk-UA"/>
        </w:rPr>
      </w:pPr>
    </w:p>
    <w:p w:rsidR="00737D9E" w:rsidRPr="00D02BAE" w:rsidRDefault="00737D9E" w:rsidP="00151D38">
      <w:pPr>
        <w:ind w:left="600"/>
        <w:rPr>
          <w:color w:val="FF0000"/>
          <w:sz w:val="28"/>
          <w:szCs w:val="28"/>
          <w:lang w:val="uk-UA"/>
        </w:rPr>
      </w:pPr>
    </w:p>
    <w:p w:rsidR="005E0A73" w:rsidRPr="00D02BAE" w:rsidRDefault="005E0A73" w:rsidP="005E0A73">
      <w:pPr>
        <w:ind w:firstLine="600"/>
        <w:rPr>
          <w:color w:val="FF0000"/>
          <w:sz w:val="28"/>
          <w:szCs w:val="28"/>
          <w:lang w:val="uk-UA"/>
        </w:rPr>
      </w:pPr>
    </w:p>
    <w:p w:rsidR="005B7175" w:rsidRPr="005B7175" w:rsidRDefault="005B7175" w:rsidP="0086634A">
      <w:pPr>
        <w:tabs>
          <w:tab w:val="left" w:pos="284"/>
          <w:tab w:val="left" w:pos="709"/>
          <w:tab w:val="left" w:pos="993"/>
        </w:tabs>
        <w:rPr>
          <w:sz w:val="28"/>
          <w:szCs w:val="28"/>
          <w:lang w:val="uk-UA"/>
        </w:rPr>
      </w:pPr>
      <w:r w:rsidRPr="005B7175">
        <w:rPr>
          <w:sz w:val="28"/>
          <w:szCs w:val="28"/>
          <w:lang w:val="uk-UA"/>
        </w:rPr>
        <w:t xml:space="preserve">Тимчасово здійснюючий </w:t>
      </w:r>
    </w:p>
    <w:p w:rsidR="005B7175" w:rsidRPr="005B7175" w:rsidRDefault="005B7175" w:rsidP="0086634A">
      <w:pPr>
        <w:tabs>
          <w:tab w:val="left" w:pos="284"/>
          <w:tab w:val="left" w:pos="709"/>
          <w:tab w:val="left" w:pos="993"/>
        </w:tabs>
        <w:rPr>
          <w:sz w:val="28"/>
          <w:szCs w:val="28"/>
          <w:lang w:val="uk-UA"/>
        </w:rPr>
      </w:pPr>
      <w:r w:rsidRPr="005B7175">
        <w:rPr>
          <w:sz w:val="28"/>
          <w:szCs w:val="28"/>
          <w:lang w:val="uk-UA"/>
        </w:rPr>
        <w:t xml:space="preserve">повноваження селищного голови, </w:t>
      </w:r>
    </w:p>
    <w:p w:rsidR="0086634A" w:rsidRPr="0086634A" w:rsidRDefault="005B7175" w:rsidP="0086634A">
      <w:pPr>
        <w:tabs>
          <w:tab w:val="left" w:pos="284"/>
          <w:tab w:val="left" w:pos="709"/>
          <w:tab w:val="left" w:pos="993"/>
        </w:tabs>
        <w:rPr>
          <w:b/>
          <w:sz w:val="28"/>
          <w:szCs w:val="28"/>
          <w:lang w:val="uk-UA"/>
        </w:rPr>
      </w:pPr>
      <w:r w:rsidRPr="005B7175">
        <w:rPr>
          <w:sz w:val="28"/>
          <w:szCs w:val="28"/>
          <w:lang w:val="uk-UA"/>
        </w:rPr>
        <w:t>секретар ради</w:t>
      </w:r>
      <w:r w:rsidR="00737D9E" w:rsidRPr="005B7175">
        <w:rPr>
          <w:b/>
          <w:sz w:val="28"/>
          <w:szCs w:val="28"/>
          <w:lang w:val="uk-UA"/>
        </w:rPr>
        <w:tab/>
      </w:r>
      <w:r w:rsidR="00737D9E" w:rsidRPr="00226304">
        <w:rPr>
          <w:b/>
          <w:sz w:val="28"/>
          <w:szCs w:val="28"/>
          <w:lang w:val="uk-UA"/>
        </w:rPr>
        <w:tab/>
      </w:r>
      <w:r w:rsidR="00737D9E" w:rsidRPr="00226304">
        <w:rPr>
          <w:b/>
          <w:sz w:val="28"/>
          <w:szCs w:val="28"/>
          <w:lang w:val="uk-UA"/>
        </w:rPr>
        <w:tab/>
      </w:r>
      <w:r w:rsidR="00737D9E" w:rsidRPr="00226304">
        <w:rPr>
          <w:b/>
          <w:sz w:val="28"/>
          <w:szCs w:val="28"/>
          <w:lang w:val="uk-UA"/>
        </w:rPr>
        <w:tab/>
      </w:r>
      <w:r w:rsidR="00737D9E" w:rsidRPr="00226304">
        <w:rPr>
          <w:b/>
          <w:sz w:val="28"/>
          <w:szCs w:val="28"/>
          <w:lang w:val="uk-UA"/>
        </w:rPr>
        <w:tab/>
        <w:t xml:space="preserve">         </w:t>
      </w:r>
      <w:r w:rsidR="00EB56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</w:t>
      </w:r>
      <w:r w:rsidR="00737D9E" w:rsidRPr="00226304">
        <w:rPr>
          <w:b/>
          <w:sz w:val="28"/>
          <w:szCs w:val="28"/>
          <w:lang w:val="uk-UA"/>
        </w:rPr>
        <w:t xml:space="preserve"> </w:t>
      </w:r>
      <w:r w:rsidR="00737D9E" w:rsidRPr="002263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О. БОРСУК</w:t>
      </w:r>
    </w:p>
    <w:sectPr w:rsidR="0086634A" w:rsidRPr="0086634A" w:rsidSect="00696AC0">
      <w:headerReference w:type="default" r:id="rId8"/>
      <w:headerReference w:type="firs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C7" w:rsidRDefault="00CF41C7" w:rsidP="005E0A73">
      <w:r>
        <w:separator/>
      </w:r>
    </w:p>
  </w:endnote>
  <w:endnote w:type="continuationSeparator" w:id="0">
    <w:p w:rsidR="00CF41C7" w:rsidRDefault="00CF41C7" w:rsidP="005E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C7" w:rsidRDefault="00CF41C7" w:rsidP="005E0A73">
      <w:r>
        <w:separator/>
      </w:r>
    </w:p>
  </w:footnote>
  <w:footnote w:type="continuationSeparator" w:id="0">
    <w:p w:rsidR="00CF41C7" w:rsidRDefault="00CF41C7" w:rsidP="005E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39" w:rsidRPr="00693B75" w:rsidRDefault="00CD6839">
    <w:pPr>
      <w:pStyle w:val="a7"/>
      <w:rPr>
        <w:lang w:val="uk-UA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39" w:rsidRPr="005E0A73" w:rsidRDefault="00CD6839" w:rsidP="00696AC0">
    <w:pPr>
      <w:pStyle w:val="a7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>Додаток 1</w:t>
    </w:r>
  </w:p>
  <w:p w:rsidR="00CD6839" w:rsidRPr="00696AC0" w:rsidRDefault="00CD6839" w:rsidP="00696A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0531"/>
    <w:multiLevelType w:val="hybridMultilevel"/>
    <w:tmpl w:val="C6C2AC28"/>
    <w:lvl w:ilvl="0" w:tplc="4B64BE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F7C011F"/>
    <w:multiLevelType w:val="multilevel"/>
    <w:tmpl w:val="690C5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4C"/>
    <w:rsid w:val="00020A32"/>
    <w:rsid w:val="000267B8"/>
    <w:rsid w:val="00030113"/>
    <w:rsid w:val="0003421F"/>
    <w:rsid w:val="000515AF"/>
    <w:rsid w:val="000659E7"/>
    <w:rsid w:val="000763BC"/>
    <w:rsid w:val="00087046"/>
    <w:rsid w:val="00095E56"/>
    <w:rsid w:val="000C1EAE"/>
    <w:rsid w:val="001324E8"/>
    <w:rsid w:val="001356A9"/>
    <w:rsid w:val="00151D38"/>
    <w:rsid w:val="00174E36"/>
    <w:rsid w:val="0018602F"/>
    <w:rsid w:val="001908E6"/>
    <w:rsid w:val="00195798"/>
    <w:rsid w:val="001C6A9A"/>
    <w:rsid w:val="001C6B3F"/>
    <w:rsid w:val="001F2265"/>
    <w:rsid w:val="001F6587"/>
    <w:rsid w:val="00222A10"/>
    <w:rsid w:val="0022626C"/>
    <w:rsid w:val="00226304"/>
    <w:rsid w:val="00264E56"/>
    <w:rsid w:val="00286709"/>
    <w:rsid w:val="00291445"/>
    <w:rsid w:val="002B6329"/>
    <w:rsid w:val="002C0C98"/>
    <w:rsid w:val="002E6FF8"/>
    <w:rsid w:val="002F3E7D"/>
    <w:rsid w:val="00304407"/>
    <w:rsid w:val="0030704C"/>
    <w:rsid w:val="00315E4D"/>
    <w:rsid w:val="0033769B"/>
    <w:rsid w:val="0034571F"/>
    <w:rsid w:val="0038069A"/>
    <w:rsid w:val="003932BE"/>
    <w:rsid w:val="003C2714"/>
    <w:rsid w:val="003C5374"/>
    <w:rsid w:val="003E071C"/>
    <w:rsid w:val="00493ACB"/>
    <w:rsid w:val="004A33F2"/>
    <w:rsid w:val="004D240C"/>
    <w:rsid w:val="004E4319"/>
    <w:rsid w:val="00500F8E"/>
    <w:rsid w:val="00514082"/>
    <w:rsid w:val="005478FA"/>
    <w:rsid w:val="005546A4"/>
    <w:rsid w:val="005B7175"/>
    <w:rsid w:val="005C4200"/>
    <w:rsid w:val="005E0A73"/>
    <w:rsid w:val="005F0ADC"/>
    <w:rsid w:val="0061341B"/>
    <w:rsid w:val="00634DFD"/>
    <w:rsid w:val="00693B75"/>
    <w:rsid w:val="00696AC0"/>
    <w:rsid w:val="006A7DE9"/>
    <w:rsid w:val="006D324F"/>
    <w:rsid w:val="006F321D"/>
    <w:rsid w:val="006F47E2"/>
    <w:rsid w:val="006F7171"/>
    <w:rsid w:val="00706FF2"/>
    <w:rsid w:val="00737D9E"/>
    <w:rsid w:val="0074411A"/>
    <w:rsid w:val="00781A70"/>
    <w:rsid w:val="007861C9"/>
    <w:rsid w:val="007E08E4"/>
    <w:rsid w:val="007E386B"/>
    <w:rsid w:val="00821118"/>
    <w:rsid w:val="00847A1B"/>
    <w:rsid w:val="00855ED2"/>
    <w:rsid w:val="0086634A"/>
    <w:rsid w:val="008767A3"/>
    <w:rsid w:val="00881D25"/>
    <w:rsid w:val="008847E2"/>
    <w:rsid w:val="00895125"/>
    <w:rsid w:val="0089576F"/>
    <w:rsid w:val="0089742B"/>
    <w:rsid w:val="008D4174"/>
    <w:rsid w:val="008D77B4"/>
    <w:rsid w:val="009131CA"/>
    <w:rsid w:val="0091436E"/>
    <w:rsid w:val="00950F91"/>
    <w:rsid w:val="00962BBD"/>
    <w:rsid w:val="009642F6"/>
    <w:rsid w:val="00965C8B"/>
    <w:rsid w:val="009803FC"/>
    <w:rsid w:val="00987C31"/>
    <w:rsid w:val="009C077C"/>
    <w:rsid w:val="009D36BA"/>
    <w:rsid w:val="00A30C21"/>
    <w:rsid w:val="00A60BA2"/>
    <w:rsid w:val="00A6660E"/>
    <w:rsid w:val="00A767D2"/>
    <w:rsid w:val="00AA6560"/>
    <w:rsid w:val="00AA7D3B"/>
    <w:rsid w:val="00AD06C6"/>
    <w:rsid w:val="00AD2A6D"/>
    <w:rsid w:val="00AD3E48"/>
    <w:rsid w:val="00AD4F6D"/>
    <w:rsid w:val="00AF3300"/>
    <w:rsid w:val="00B16ADE"/>
    <w:rsid w:val="00B20EAD"/>
    <w:rsid w:val="00B30AB2"/>
    <w:rsid w:val="00B5180B"/>
    <w:rsid w:val="00B71EFC"/>
    <w:rsid w:val="00B746B5"/>
    <w:rsid w:val="00BD4994"/>
    <w:rsid w:val="00BD61BC"/>
    <w:rsid w:val="00BF5C13"/>
    <w:rsid w:val="00C1414C"/>
    <w:rsid w:val="00C434E4"/>
    <w:rsid w:val="00C604C7"/>
    <w:rsid w:val="00CD6839"/>
    <w:rsid w:val="00CE0395"/>
    <w:rsid w:val="00CF06B3"/>
    <w:rsid w:val="00CF41C7"/>
    <w:rsid w:val="00D02BAE"/>
    <w:rsid w:val="00D5657A"/>
    <w:rsid w:val="00D751B8"/>
    <w:rsid w:val="00D82E7E"/>
    <w:rsid w:val="00DD7C48"/>
    <w:rsid w:val="00DF6B9C"/>
    <w:rsid w:val="00E06930"/>
    <w:rsid w:val="00E32811"/>
    <w:rsid w:val="00E368DC"/>
    <w:rsid w:val="00E86B7B"/>
    <w:rsid w:val="00EA5882"/>
    <w:rsid w:val="00EA71BC"/>
    <w:rsid w:val="00EB24A0"/>
    <w:rsid w:val="00EB56A0"/>
    <w:rsid w:val="00F07E83"/>
    <w:rsid w:val="00F347A3"/>
    <w:rsid w:val="00F67FBF"/>
    <w:rsid w:val="00F95D9C"/>
    <w:rsid w:val="00FD58B5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BC5A1"/>
  <w15:docId w15:val="{15F366A9-6AC5-416F-AB33-C2961FF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704C"/>
    <w:pPr>
      <w:keepNext/>
      <w:tabs>
        <w:tab w:val="left" w:pos="1953"/>
      </w:tabs>
      <w:autoSpaceDE/>
      <w:autoSpaceDN/>
      <w:jc w:val="center"/>
      <w:outlineLvl w:val="0"/>
    </w:pPr>
    <w:rPr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30704C"/>
    <w:pPr>
      <w:keepNext/>
      <w:autoSpaceDE/>
      <w:autoSpaceDN/>
      <w:outlineLvl w:val="1"/>
    </w:pPr>
    <w:rPr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4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0704C"/>
    <w:rPr>
      <w:rFonts w:ascii="Times New Roman" w:eastAsia="Times New Roman" w:hAnsi="Times New Roman" w:cs="Times New Roman"/>
      <w:sz w:val="20"/>
      <w:szCs w:val="24"/>
      <w:u w:val="single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30704C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xfmc1">
    <w:name w:val="xfmc1"/>
    <w:basedOn w:val="a"/>
    <w:rsid w:val="00E069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69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7D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D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nhideWhenUsed/>
    <w:rsid w:val="001C6B3F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rsid w:val="001C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E0A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5F0AD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93B75"/>
    <w:pPr>
      <w:ind w:left="720"/>
      <w:contextualSpacing/>
    </w:pPr>
  </w:style>
  <w:style w:type="table" w:styleId="ad">
    <w:name w:val="Table Grid"/>
    <w:basedOn w:val="a1"/>
    <w:uiPriority w:val="59"/>
    <w:rsid w:val="0069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6EB9-FE08-40C0-B326-1AE832DE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Lavro</cp:lastModifiedBy>
  <cp:revision>7</cp:revision>
  <cp:lastPrinted>2021-04-30T10:15:00Z</cp:lastPrinted>
  <dcterms:created xsi:type="dcterms:W3CDTF">2024-02-16T09:59:00Z</dcterms:created>
  <dcterms:modified xsi:type="dcterms:W3CDTF">2024-02-16T10:52:00Z</dcterms:modified>
</cp:coreProperties>
</file>